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67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833081" cy="80924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081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13"/>
        </w:rPr>
      </w:pPr>
    </w:p>
    <w:p>
      <w:pPr>
        <w:tabs>
          <w:tab w:pos="3694" w:val="left" w:leader="none"/>
        </w:tabs>
        <w:spacing w:before="0"/>
        <w:ind w:left="2232" w:right="0" w:firstLine="0"/>
        <w:jc w:val="left"/>
        <w:rPr>
          <w:sz w:val="15"/>
        </w:rPr>
      </w:pPr>
      <w:r>
        <w:rPr>
          <w:sz w:val="15"/>
        </w:rPr>
        <w:t>О П Р О С Н</w:t>
      </w:r>
      <w:r>
        <w:rPr>
          <w:spacing w:val="7"/>
          <w:sz w:val="15"/>
        </w:rPr>
        <w:t> </w:t>
      </w:r>
      <w:r>
        <w:rPr>
          <w:sz w:val="15"/>
        </w:rPr>
        <w:t>Ы</w:t>
      </w:r>
      <w:r>
        <w:rPr>
          <w:spacing w:val="2"/>
          <w:sz w:val="15"/>
        </w:rPr>
        <w:t> </w:t>
      </w:r>
      <w:r>
        <w:rPr>
          <w:sz w:val="15"/>
        </w:rPr>
        <w:t>Й</w:t>
        <w:tab/>
        <w:t>Л И С Т (на 2х</w:t>
      </w:r>
      <w:r>
        <w:rPr>
          <w:spacing w:val="2"/>
          <w:sz w:val="15"/>
        </w:rPr>
        <w:t> </w:t>
      </w:r>
      <w:r>
        <w:rPr>
          <w:sz w:val="15"/>
        </w:rPr>
        <w:t>листах)</w:t>
      </w:r>
    </w:p>
    <w:p>
      <w:pPr>
        <w:spacing w:before="9"/>
        <w:ind w:left="1961" w:right="0" w:firstLine="0"/>
        <w:jc w:val="left"/>
        <w:rPr>
          <w:sz w:val="11"/>
        </w:rPr>
      </w:pPr>
      <w:r>
        <w:rPr>
          <w:w w:val="105"/>
          <w:sz w:val="11"/>
        </w:rPr>
        <w:t>для разработки и заказа канализационной насосной станции (КНС).</w:t>
      </w:r>
    </w:p>
    <w:p>
      <w:pPr>
        <w:spacing w:line="240" w:lineRule="auto" w:before="6" w:after="0"/>
        <w:rPr>
          <w:sz w:val="11"/>
        </w:rPr>
      </w:pPr>
    </w:p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7"/>
      </w:tblGrid>
      <w:tr>
        <w:trPr>
          <w:trHeight w:val="378" w:hRule="atLeast"/>
        </w:trPr>
        <w:tc>
          <w:tcPr>
            <w:tcW w:w="6507" w:type="dxa"/>
          </w:tcPr>
          <w:p>
            <w:pPr>
              <w:pStyle w:val="TableParagraph"/>
              <w:spacing w:before="11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Объект * :</w:t>
            </w:r>
          </w:p>
        </w:tc>
      </w:tr>
      <w:tr>
        <w:trPr>
          <w:trHeight w:val="400" w:hRule="atLeast"/>
        </w:trPr>
        <w:tc>
          <w:tcPr>
            <w:tcW w:w="6507" w:type="dxa"/>
          </w:tcPr>
          <w:p>
            <w:pPr>
              <w:pStyle w:val="TableParagraph"/>
              <w:spacing w:before="122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Заказчик * :</w:t>
            </w:r>
          </w:p>
        </w:tc>
      </w:tr>
      <w:tr>
        <w:trPr>
          <w:trHeight w:val="378" w:hRule="atLeast"/>
        </w:trPr>
        <w:tc>
          <w:tcPr>
            <w:tcW w:w="6507" w:type="dxa"/>
          </w:tcPr>
          <w:p>
            <w:pPr>
              <w:pStyle w:val="TableParagraph"/>
              <w:spacing w:before="11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Контактное лицо * :</w:t>
            </w:r>
          </w:p>
        </w:tc>
      </w:tr>
      <w:tr>
        <w:trPr>
          <w:trHeight w:val="299" w:hRule="atLeast"/>
        </w:trPr>
        <w:tc>
          <w:tcPr>
            <w:tcW w:w="6507" w:type="dxa"/>
          </w:tcPr>
          <w:p>
            <w:pPr>
              <w:pStyle w:val="TableParagraph"/>
              <w:spacing w:before="72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Тел.,факс.,e-mail * :</w:t>
            </w:r>
          </w:p>
        </w:tc>
      </w:tr>
    </w:tbl>
    <w:p>
      <w:pPr>
        <w:spacing w:line="240" w:lineRule="auto" w:before="4" w:after="1"/>
        <w:rPr>
          <w:sz w:val="14"/>
        </w:rPr>
      </w:pPr>
    </w:p>
    <w:tbl>
      <w:tblPr>
        <w:tblW w:w="0" w:type="auto"/>
        <w:jc w:val="left"/>
        <w:tblInd w:w="2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"/>
        <w:gridCol w:w="3264"/>
        <w:gridCol w:w="2845"/>
      </w:tblGrid>
      <w:tr>
        <w:trPr>
          <w:trHeight w:val="167" w:hRule="atLeast"/>
        </w:trPr>
        <w:tc>
          <w:tcPr>
            <w:tcW w:w="3664" w:type="dxa"/>
            <w:gridSpan w:val="2"/>
          </w:tcPr>
          <w:p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sz w:val="12"/>
              </w:rPr>
              <w:t>Производительность КНС (м³/час)</w:t>
            </w:r>
          </w:p>
        </w:tc>
        <w:tc>
          <w:tcPr>
            <w:tcW w:w="28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3664" w:type="dxa"/>
            <w:gridSpan w:val="2"/>
          </w:tcPr>
          <w:p>
            <w:pPr>
              <w:pStyle w:val="TableParagraph"/>
              <w:spacing w:before="15"/>
              <w:ind w:left="24"/>
              <w:rPr>
                <w:sz w:val="12"/>
              </w:rPr>
            </w:pPr>
            <w:r>
              <w:rPr>
                <w:sz w:val="12"/>
              </w:rPr>
              <w:t>Требуемый напор на выходе (м)</w:t>
            </w:r>
          </w:p>
        </w:tc>
        <w:tc>
          <w:tcPr>
            <w:tcW w:w="28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3664" w:type="dxa"/>
            <w:gridSpan w:val="2"/>
          </w:tcPr>
          <w:p>
            <w:pPr>
              <w:pStyle w:val="TableParagraph"/>
              <w:spacing w:before="13"/>
              <w:ind w:left="24"/>
              <w:rPr>
                <w:sz w:val="12"/>
              </w:rPr>
            </w:pPr>
            <w:r>
              <w:rPr>
                <w:sz w:val="12"/>
              </w:rPr>
              <w:t>Взрывозащищенное исполнение</w:t>
            </w:r>
          </w:p>
        </w:tc>
        <w:tc>
          <w:tcPr>
            <w:tcW w:w="28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664" w:type="dxa"/>
            <w:gridSpan w:val="2"/>
          </w:tcPr>
          <w:p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sz w:val="12"/>
              </w:rPr>
              <w:t>Характер сточных вод</w:t>
            </w:r>
          </w:p>
        </w:tc>
        <w:tc>
          <w:tcPr>
            <w:tcW w:w="28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664" w:type="dxa"/>
            <w:gridSpan w:val="2"/>
          </w:tcPr>
          <w:p>
            <w:pPr>
              <w:pStyle w:val="TableParagraph"/>
              <w:spacing w:before="27"/>
              <w:ind w:left="24"/>
              <w:rPr>
                <w:sz w:val="12"/>
              </w:rPr>
            </w:pPr>
            <w:r>
              <w:rPr>
                <w:sz w:val="12"/>
              </w:rPr>
              <w:t>Категория надежности насосной станции</w:t>
            </w:r>
          </w:p>
        </w:tc>
        <w:tc>
          <w:tcPr>
            <w:tcW w:w="28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400" w:type="dxa"/>
            <w:vMerge w:val="restart"/>
            <w:textDirection w:val="btLr"/>
          </w:tcPr>
          <w:p>
            <w:pPr>
              <w:pStyle w:val="TableParagraph"/>
              <w:spacing w:line="249" w:lineRule="auto" w:before="39"/>
              <w:ind w:left="248" w:right="198" w:firstLine="55"/>
              <w:rPr>
                <w:b/>
                <w:sz w:val="13"/>
              </w:rPr>
            </w:pPr>
            <w:r>
              <w:rPr>
                <w:b/>
                <w:spacing w:val="-1"/>
                <w:w w:val="103"/>
                <w:sz w:val="13"/>
              </w:rPr>
              <w:t>По</w:t>
            </w:r>
            <w:r>
              <w:rPr>
                <w:b/>
                <w:w w:val="103"/>
                <w:sz w:val="13"/>
              </w:rPr>
              <w:t>д</w:t>
            </w:r>
            <w:r>
              <w:rPr>
                <w:b/>
                <w:spacing w:val="-1"/>
                <w:w w:val="103"/>
                <w:sz w:val="13"/>
              </w:rPr>
              <w:t>ающ</w:t>
            </w:r>
            <w:r>
              <w:rPr>
                <w:b/>
                <w:spacing w:val="-2"/>
                <w:w w:val="103"/>
                <w:sz w:val="13"/>
              </w:rPr>
              <w:t>и</w:t>
            </w:r>
            <w:r>
              <w:rPr>
                <w:b/>
                <w:w w:val="103"/>
                <w:sz w:val="13"/>
              </w:rPr>
              <w:t>й </w:t>
            </w:r>
            <w:r>
              <w:rPr>
                <w:b/>
                <w:spacing w:val="-2"/>
                <w:w w:val="103"/>
                <w:sz w:val="13"/>
              </w:rPr>
              <w:t>т</w:t>
            </w:r>
            <w:r>
              <w:rPr>
                <w:b/>
                <w:spacing w:val="-1"/>
                <w:w w:val="103"/>
                <w:sz w:val="13"/>
              </w:rPr>
              <w:t>ру</w:t>
            </w:r>
            <w:r>
              <w:rPr>
                <w:b/>
                <w:w w:val="103"/>
                <w:sz w:val="13"/>
              </w:rPr>
              <w:t>б</w:t>
            </w:r>
            <w:r>
              <w:rPr>
                <w:b/>
                <w:spacing w:val="-1"/>
                <w:w w:val="103"/>
                <w:sz w:val="13"/>
              </w:rPr>
              <w:t>о</w:t>
            </w:r>
            <w:r>
              <w:rPr>
                <w:b/>
                <w:w w:val="103"/>
                <w:sz w:val="13"/>
              </w:rPr>
              <w:t>п</w:t>
            </w:r>
            <w:r>
              <w:rPr>
                <w:b/>
                <w:spacing w:val="-1"/>
                <w:w w:val="103"/>
                <w:sz w:val="13"/>
              </w:rPr>
              <w:t>ро</w:t>
            </w:r>
            <w:r>
              <w:rPr>
                <w:b/>
                <w:spacing w:val="-2"/>
                <w:w w:val="103"/>
                <w:sz w:val="13"/>
              </w:rPr>
              <w:t>в</w:t>
            </w:r>
            <w:r>
              <w:rPr>
                <w:b/>
                <w:spacing w:val="-1"/>
                <w:w w:val="103"/>
                <w:sz w:val="13"/>
              </w:rPr>
              <w:t>о</w:t>
            </w:r>
            <w:r>
              <w:rPr>
                <w:b/>
                <w:w w:val="103"/>
                <w:sz w:val="13"/>
              </w:rPr>
              <w:t>д</w:t>
            </w:r>
          </w:p>
        </w:tc>
        <w:tc>
          <w:tcPr>
            <w:tcW w:w="3264" w:type="dxa"/>
          </w:tcPr>
          <w:p>
            <w:pPr>
              <w:pStyle w:val="TableParagraph"/>
              <w:spacing w:line="140" w:lineRule="atLeast" w:before="18"/>
              <w:ind w:left="22"/>
              <w:rPr>
                <w:sz w:val="12"/>
              </w:rPr>
            </w:pPr>
            <w:r>
              <w:rPr>
                <w:sz w:val="12"/>
              </w:rPr>
              <w:t>Задвижка входная в корпусе КНС (до Ду 200 включительно)</w:t>
            </w:r>
          </w:p>
        </w:tc>
        <w:tc>
          <w:tcPr>
            <w:tcW w:w="28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4" w:hRule="atLeast"/>
        </w:trPr>
        <w:tc>
          <w:tcPr>
            <w:tcW w:w="4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spacing w:before="23"/>
              <w:ind w:left="22"/>
              <w:rPr>
                <w:sz w:val="12"/>
              </w:rPr>
            </w:pPr>
            <w:r>
              <w:rPr>
                <w:sz w:val="12"/>
              </w:rPr>
              <w:t>Количество</w:t>
            </w:r>
          </w:p>
        </w:tc>
        <w:tc>
          <w:tcPr>
            <w:tcW w:w="28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1" w:hRule="atLeast"/>
        </w:trPr>
        <w:tc>
          <w:tcPr>
            <w:tcW w:w="4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spacing w:line="140" w:lineRule="atLeast" w:before="21"/>
              <w:ind w:left="22" w:right="85"/>
              <w:rPr>
                <w:sz w:val="12"/>
              </w:rPr>
            </w:pPr>
            <w:r>
              <w:rPr>
                <w:sz w:val="12"/>
              </w:rPr>
              <w:t>Глубина заложения от поверхности земли до лотка трубы (м)</w:t>
            </w:r>
          </w:p>
        </w:tc>
        <w:tc>
          <w:tcPr>
            <w:tcW w:w="28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6" w:hRule="atLeast"/>
        </w:trPr>
        <w:tc>
          <w:tcPr>
            <w:tcW w:w="4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spacing w:before="30"/>
              <w:ind w:left="22"/>
              <w:rPr>
                <w:sz w:val="12"/>
              </w:rPr>
            </w:pPr>
            <w:r>
              <w:rPr>
                <w:sz w:val="12"/>
              </w:rPr>
              <w:t>Расположение в плане (час)</w:t>
            </w:r>
          </w:p>
        </w:tc>
        <w:tc>
          <w:tcPr>
            <w:tcW w:w="28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4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spacing w:before="109"/>
              <w:ind w:left="22"/>
              <w:rPr>
                <w:b/>
                <w:sz w:val="12"/>
              </w:rPr>
            </w:pPr>
            <w:r>
              <w:rPr>
                <w:b/>
                <w:sz w:val="12"/>
              </w:rPr>
              <w:t>Ду:</w:t>
            </w:r>
          </w:p>
        </w:tc>
        <w:tc>
          <w:tcPr>
            <w:tcW w:w="28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34" w:hRule="atLeast"/>
        </w:trPr>
        <w:tc>
          <w:tcPr>
            <w:tcW w:w="3664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6" w:hRule="atLeast"/>
        </w:trPr>
        <w:tc>
          <w:tcPr>
            <w:tcW w:w="400" w:type="dxa"/>
            <w:vMerge w:val="restart"/>
            <w:textDirection w:val="btLr"/>
          </w:tcPr>
          <w:p>
            <w:pPr>
              <w:pStyle w:val="TableParagraph"/>
              <w:spacing w:before="48"/>
              <w:ind w:left="407"/>
              <w:rPr>
                <w:b/>
                <w:sz w:val="12"/>
              </w:rPr>
            </w:pPr>
            <w:r>
              <w:rPr>
                <w:b/>
                <w:sz w:val="12"/>
              </w:rPr>
              <w:t>Напорный</w:t>
            </w:r>
          </w:p>
          <w:p>
            <w:pPr>
              <w:pStyle w:val="TableParagraph"/>
              <w:spacing w:before="1"/>
              <w:ind w:left="339"/>
              <w:rPr>
                <w:b/>
                <w:sz w:val="12"/>
              </w:rPr>
            </w:pPr>
            <w:r>
              <w:rPr>
                <w:b/>
                <w:sz w:val="12"/>
              </w:rPr>
              <w:t>трубопровод</w:t>
            </w:r>
          </w:p>
        </w:tc>
        <w:tc>
          <w:tcPr>
            <w:tcW w:w="3264" w:type="dxa"/>
          </w:tcPr>
          <w:p>
            <w:pPr>
              <w:pStyle w:val="TableParagraph"/>
              <w:spacing w:before="63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Ду:</w:t>
            </w:r>
          </w:p>
        </w:tc>
        <w:tc>
          <w:tcPr>
            <w:tcW w:w="28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5" w:hRule="atLeast"/>
        </w:trPr>
        <w:tc>
          <w:tcPr>
            <w:tcW w:w="4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spacing w:before="44"/>
              <w:ind w:left="22"/>
              <w:rPr>
                <w:sz w:val="12"/>
              </w:rPr>
            </w:pPr>
            <w:r>
              <w:rPr>
                <w:sz w:val="12"/>
              </w:rPr>
              <w:t>Расположение в плане (час)</w:t>
            </w:r>
          </w:p>
        </w:tc>
        <w:tc>
          <w:tcPr>
            <w:tcW w:w="28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2" w:hRule="atLeast"/>
        </w:trPr>
        <w:tc>
          <w:tcPr>
            <w:tcW w:w="4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spacing w:line="140" w:lineRule="atLeast" w:before="11"/>
              <w:ind w:left="22" w:right="85"/>
              <w:rPr>
                <w:sz w:val="12"/>
              </w:rPr>
            </w:pPr>
            <w:r>
              <w:rPr>
                <w:sz w:val="12"/>
              </w:rPr>
              <w:t>Глубина заложения от поверхности земли до лотка трубы (м)</w:t>
            </w:r>
          </w:p>
        </w:tc>
        <w:tc>
          <w:tcPr>
            <w:tcW w:w="28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7" w:hRule="atLeast"/>
        </w:trPr>
        <w:tc>
          <w:tcPr>
            <w:tcW w:w="4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spacing w:before="49"/>
              <w:ind w:left="22"/>
              <w:rPr>
                <w:sz w:val="12"/>
              </w:rPr>
            </w:pPr>
            <w:r>
              <w:rPr>
                <w:sz w:val="12"/>
              </w:rPr>
              <w:t>Количество</w:t>
            </w:r>
          </w:p>
        </w:tc>
        <w:tc>
          <w:tcPr>
            <w:tcW w:w="28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27" w:hRule="atLeast"/>
        </w:trPr>
        <w:tc>
          <w:tcPr>
            <w:tcW w:w="4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spacing w:line="247" w:lineRule="auto" w:before="80"/>
              <w:ind w:left="22" w:right="85"/>
              <w:rPr>
                <w:sz w:val="12"/>
              </w:rPr>
            </w:pPr>
            <w:r>
              <w:rPr>
                <w:sz w:val="12"/>
              </w:rPr>
              <w:t>Запорно-регулирующая арматура для каждого насоса до Ду 100 включительно</w:t>
            </w:r>
          </w:p>
        </w:tc>
        <w:tc>
          <w:tcPr>
            <w:tcW w:w="28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before="14" w:after="18"/>
        <w:ind w:left="2719" w:right="0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1" simplePos="0" relativeHeight="268419911">
            <wp:simplePos x="0" y="0"/>
            <wp:positionH relativeFrom="page">
              <wp:posOffset>2014982</wp:posOffset>
            </wp:positionH>
            <wp:positionV relativeFrom="paragraph">
              <wp:posOffset>-1440409</wp:posOffset>
            </wp:positionV>
            <wp:extent cx="763563" cy="640079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63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2"/>
        </w:rPr>
        <w:t>Дополнительное оснащение КНС.</w:t>
      </w: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"/>
        <w:gridCol w:w="3662"/>
        <w:gridCol w:w="956"/>
        <w:gridCol w:w="1889"/>
      </w:tblGrid>
      <w:tr>
        <w:trPr>
          <w:trHeight w:val="131" w:hRule="atLeast"/>
        </w:trPr>
        <w:tc>
          <w:tcPr>
            <w:tcW w:w="3841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line="103" w:lineRule="exact" w:before="8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Цена руб с НДС</w:t>
            </w:r>
          </w:p>
        </w:tc>
        <w:tc>
          <w:tcPr>
            <w:tcW w:w="188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2" w:hRule="atLeast"/>
        </w:trPr>
        <w:tc>
          <w:tcPr>
            <w:tcW w:w="3841" w:type="dxa"/>
            <w:gridSpan w:val="2"/>
          </w:tcPr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spacing w:line="103" w:lineRule="exact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Система</w:t>
            </w:r>
            <w:r>
              <w:rPr>
                <w:spacing w:val="-2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принудительной</w:t>
            </w:r>
            <w:r>
              <w:rPr>
                <w:spacing w:val="-2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вентиляции</w:t>
            </w:r>
            <w:r>
              <w:rPr>
                <w:spacing w:val="-1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-2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вентилятором</w:t>
            </w:r>
            <w:r>
              <w:rPr>
                <w:spacing w:val="-2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ВКРМ-3,15-01</w:t>
            </w:r>
          </w:p>
        </w:tc>
        <w:tc>
          <w:tcPr>
            <w:tcW w:w="956" w:type="dxa"/>
          </w:tcPr>
          <w:p>
            <w:pPr>
              <w:pStyle w:val="TableParagraph"/>
              <w:spacing w:before="66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23816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1" w:hRule="atLeast"/>
        </w:trPr>
        <w:tc>
          <w:tcPr>
            <w:tcW w:w="3841" w:type="dxa"/>
            <w:gridSpan w:val="2"/>
          </w:tcPr>
          <w:p>
            <w:pPr>
              <w:pStyle w:val="TableParagraph"/>
              <w:spacing w:line="103" w:lineRule="exact" w:before="8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Ловушка крупного мусора (корзина)</w:t>
            </w:r>
          </w:p>
        </w:tc>
        <w:tc>
          <w:tcPr>
            <w:tcW w:w="956" w:type="dxa"/>
          </w:tcPr>
          <w:p>
            <w:pPr>
              <w:pStyle w:val="TableParagraph"/>
              <w:spacing w:line="101" w:lineRule="exact" w:before="10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16107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3841" w:type="dxa"/>
            <w:gridSpan w:val="2"/>
          </w:tcPr>
          <w:p>
            <w:pPr>
              <w:pStyle w:val="TableParagraph"/>
              <w:spacing w:line="103" w:lineRule="exact" w:before="8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Лебедка для подьема корзины и насосов</w:t>
            </w:r>
          </w:p>
        </w:tc>
        <w:tc>
          <w:tcPr>
            <w:tcW w:w="956" w:type="dxa"/>
          </w:tcPr>
          <w:p>
            <w:pPr>
              <w:pStyle w:val="TableParagraph"/>
              <w:spacing w:line="101" w:lineRule="exact" w:before="10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11130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3841" w:type="dxa"/>
            <w:gridSpan w:val="2"/>
          </w:tcPr>
          <w:p>
            <w:pPr>
              <w:pStyle w:val="TableParagraph"/>
              <w:spacing w:line="103" w:lineRule="exact" w:before="8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GSM- SMS оповещение</w:t>
            </w:r>
          </w:p>
        </w:tc>
        <w:tc>
          <w:tcPr>
            <w:tcW w:w="956" w:type="dxa"/>
          </w:tcPr>
          <w:p>
            <w:pPr>
              <w:pStyle w:val="TableParagraph"/>
              <w:spacing w:line="101" w:lineRule="exact" w:before="10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9800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3841" w:type="dxa"/>
            <w:gridSpan w:val="2"/>
          </w:tcPr>
          <w:p>
            <w:pPr>
              <w:pStyle w:val="TableParagraph"/>
              <w:spacing w:line="103" w:lineRule="exact" w:before="8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Счетчик мото-часов для одного насоса</w:t>
            </w:r>
          </w:p>
        </w:tc>
        <w:tc>
          <w:tcPr>
            <w:tcW w:w="956" w:type="dxa"/>
          </w:tcPr>
          <w:p>
            <w:pPr>
              <w:pStyle w:val="TableParagraph"/>
              <w:spacing w:line="101" w:lineRule="exact" w:before="10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3000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3841" w:type="dxa"/>
            <w:gridSpan w:val="2"/>
          </w:tcPr>
          <w:p>
            <w:pPr>
              <w:pStyle w:val="TableParagraph"/>
              <w:spacing w:line="103" w:lineRule="exact" w:before="8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Автоматический переключатель на резервную линию питания</w:t>
            </w:r>
          </w:p>
        </w:tc>
        <w:tc>
          <w:tcPr>
            <w:tcW w:w="956" w:type="dxa"/>
          </w:tcPr>
          <w:p>
            <w:pPr>
              <w:pStyle w:val="TableParagraph"/>
              <w:spacing w:line="101" w:lineRule="exact" w:before="10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34672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79" w:type="dxa"/>
            <w:tcBorders>
              <w:right w:val="nil"/>
            </w:tcBorders>
          </w:tcPr>
          <w:p>
            <w:pPr>
              <w:pStyle w:val="TableParagraph"/>
              <w:spacing w:line="103" w:lineRule="exact" w:before="9"/>
              <w:ind w:left="2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2"/>
                <w:sz w:val="11"/>
              </w:rPr>
              <w:t>*</w:t>
            </w:r>
          </w:p>
        </w:tc>
        <w:tc>
          <w:tcPr>
            <w:tcW w:w="3662" w:type="dxa"/>
            <w:tcBorders>
              <w:left w:val="nil"/>
            </w:tcBorders>
          </w:tcPr>
          <w:p>
            <w:pPr>
              <w:pStyle w:val="TableParagraph"/>
              <w:spacing w:line="103" w:lineRule="exact" w:before="8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Ручной переключатель на резервную линию питания</w:t>
            </w:r>
          </w:p>
        </w:tc>
        <w:tc>
          <w:tcPr>
            <w:tcW w:w="956" w:type="dxa"/>
          </w:tcPr>
          <w:p>
            <w:pPr>
              <w:pStyle w:val="TableParagraph"/>
              <w:spacing w:line="101" w:lineRule="exact" w:before="10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8158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79" w:type="dxa"/>
            <w:tcBorders>
              <w:right w:val="nil"/>
            </w:tcBorders>
          </w:tcPr>
          <w:p>
            <w:pPr>
              <w:pStyle w:val="TableParagraph"/>
              <w:spacing w:line="103" w:lineRule="exact" w:before="9"/>
              <w:ind w:left="2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2"/>
                <w:sz w:val="11"/>
              </w:rPr>
              <w:t>*</w:t>
            </w:r>
          </w:p>
        </w:tc>
        <w:tc>
          <w:tcPr>
            <w:tcW w:w="3662" w:type="dxa"/>
            <w:tcBorders>
              <w:left w:val="nil"/>
            </w:tcBorders>
          </w:tcPr>
          <w:p>
            <w:pPr>
              <w:pStyle w:val="TableParagraph"/>
              <w:spacing w:line="103" w:lineRule="exact" w:before="8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Антивандальный кожух щита управления</w:t>
            </w:r>
          </w:p>
        </w:tc>
        <w:tc>
          <w:tcPr>
            <w:tcW w:w="956" w:type="dxa"/>
          </w:tcPr>
          <w:p>
            <w:pPr>
              <w:pStyle w:val="TableParagraph"/>
              <w:spacing w:line="101" w:lineRule="exact" w:before="10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17700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3841" w:type="dxa"/>
            <w:gridSpan w:val="2"/>
          </w:tcPr>
          <w:p>
            <w:pPr>
              <w:pStyle w:val="TableParagraph"/>
              <w:spacing w:line="103" w:lineRule="exact" w:before="6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Павильон наземный 3,74х2,38х2,53м</w:t>
            </w:r>
          </w:p>
        </w:tc>
        <w:tc>
          <w:tcPr>
            <w:tcW w:w="956" w:type="dxa"/>
          </w:tcPr>
          <w:p>
            <w:pPr>
              <w:pStyle w:val="TableParagraph"/>
              <w:spacing w:line="101" w:lineRule="exact" w:before="8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199656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17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1"/>
              <w:ind w:left="25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*</w:t>
            </w:r>
            <w:r>
              <w:rPr>
                <w:w w:val="105"/>
                <w:sz w:val="11"/>
              </w:rPr>
              <w:t>Применяется автоматическое или ручное переключение на резервную линию питания</w:t>
            </w:r>
          </w:p>
        </w:tc>
      </w:tr>
    </w:tbl>
    <w:p>
      <w:pPr>
        <w:pStyle w:val="BodyText"/>
        <w:spacing w:line="244" w:lineRule="auto" w:before="26"/>
        <w:ind w:left="314" w:right="4756"/>
      </w:pPr>
      <w:r>
        <w:rPr>
          <w:w w:val="105"/>
        </w:rPr>
        <w:t>Цены</w:t>
      </w:r>
      <w:r>
        <w:rPr>
          <w:spacing w:val="-15"/>
          <w:w w:val="105"/>
        </w:rPr>
        <w:t> </w:t>
      </w:r>
      <w:r>
        <w:rPr>
          <w:w w:val="105"/>
        </w:rPr>
        <w:t>на</w:t>
      </w:r>
      <w:r>
        <w:rPr>
          <w:spacing w:val="-15"/>
          <w:w w:val="105"/>
        </w:rPr>
        <w:t> </w:t>
      </w:r>
      <w:r>
        <w:rPr>
          <w:w w:val="105"/>
        </w:rPr>
        <w:t>дополнительное</w:t>
      </w:r>
      <w:r>
        <w:rPr>
          <w:spacing w:val="-15"/>
          <w:w w:val="105"/>
        </w:rPr>
        <w:t> </w:t>
      </w:r>
      <w:r>
        <w:rPr>
          <w:w w:val="105"/>
        </w:rPr>
        <w:t>оборудование</w:t>
      </w:r>
      <w:r>
        <w:rPr>
          <w:spacing w:val="-15"/>
          <w:w w:val="105"/>
        </w:rPr>
        <w:t> </w:t>
      </w:r>
      <w:r>
        <w:rPr>
          <w:w w:val="105"/>
        </w:rPr>
        <w:t>—</w:t>
      </w:r>
      <w:r>
        <w:rPr>
          <w:spacing w:val="-15"/>
          <w:w w:val="105"/>
        </w:rPr>
        <w:t> </w:t>
      </w:r>
      <w:r>
        <w:rPr>
          <w:w w:val="105"/>
        </w:rPr>
        <w:t>справочные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уточняются</w:t>
      </w:r>
      <w:r>
        <w:rPr>
          <w:spacing w:val="-16"/>
          <w:w w:val="105"/>
        </w:rPr>
        <w:t> </w:t>
      </w:r>
      <w:r>
        <w:rPr>
          <w:w w:val="105"/>
        </w:rPr>
        <w:t>на момент выдачи технического</w:t>
      </w:r>
      <w:r>
        <w:rPr>
          <w:spacing w:val="-8"/>
          <w:w w:val="105"/>
        </w:rPr>
        <w:t> </w:t>
      </w:r>
      <w:r>
        <w:rPr>
          <w:w w:val="105"/>
        </w:rPr>
        <w:t>предложения.</w:t>
      </w:r>
    </w:p>
    <w:p>
      <w:pPr>
        <w:spacing w:line="240" w:lineRule="auto" w:before="9"/>
        <w:rPr>
          <w:b/>
          <w:sz w:val="15"/>
        </w:rPr>
      </w:pPr>
    </w:p>
    <w:p>
      <w:pPr>
        <w:pStyle w:val="Heading1"/>
        <w:ind w:left="2669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Диспетчеризация</w:t>
      </w:r>
    </w:p>
    <w:p>
      <w:pPr>
        <w:pStyle w:val="BodyText"/>
        <w:spacing w:before="1" w:after="1"/>
        <w:rPr>
          <w:rFonts w:ascii="Times New Roman"/>
          <w:sz w:val="12"/>
        </w:rPr>
      </w:pPr>
    </w:p>
    <w:tbl>
      <w:tblPr>
        <w:tblW w:w="0" w:type="auto"/>
        <w:jc w:val="left"/>
        <w:tblInd w:w="2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3"/>
        <w:gridCol w:w="956"/>
        <w:gridCol w:w="1889"/>
      </w:tblGrid>
      <w:tr>
        <w:trPr>
          <w:trHeight w:val="136" w:hRule="atLeast"/>
        </w:trPr>
        <w:tc>
          <w:tcPr>
            <w:tcW w:w="3663" w:type="dxa"/>
          </w:tcPr>
          <w:p>
            <w:pPr>
              <w:pStyle w:val="TableParagraph"/>
              <w:spacing w:line="103" w:lineRule="exact" w:before="13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Модуль диспетчеризации по протоколу ModBus</w:t>
            </w:r>
          </w:p>
        </w:tc>
        <w:tc>
          <w:tcPr>
            <w:tcW w:w="956" w:type="dxa"/>
          </w:tcPr>
          <w:p>
            <w:pPr>
              <w:pStyle w:val="TableParagraph"/>
              <w:spacing w:line="103" w:lineRule="exact" w:before="13"/>
              <w:ind w:left="271" w:right="2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12100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3663" w:type="dxa"/>
          </w:tcPr>
          <w:p>
            <w:pPr>
              <w:pStyle w:val="TableParagraph"/>
              <w:spacing w:line="103" w:lineRule="exact" w:before="13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Модуль диспетчеризации по протоколу Ethernet</w:t>
            </w:r>
          </w:p>
        </w:tc>
        <w:tc>
          <w:tcPr>
            <w:tcW w:w="956" w:type="dxa"/>
          </w:tcPr>
          <w:p>
            <w:pPr>
              <w:pStyle w:val="TableParagraph"/>
              <w:spacing w:line="103" w:lineRule="exact" w:before="13"/>
              <w:ind w:left="271" w:right="2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41290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3663" w:type="dxa"/>
          </w:tcPr>
          <w:p>
            <w:pPr>
              <w:pStyle w:val="TableParagraph"/>
              <w:spacing w:line="97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Модуль диспетчеризации по протоколу Profibus DP</w:t>
            </w:r>
          </w:p>
        </w:tc>
        <w:tc>
          <w:tcPr>
            <w:tcW w:w="956" w:type="dxa"/>
          </w:tcPr>
          <w:p>
            <w:pPr>
              <w:pStyle w:val="TableParagraph"/>
              <w:spacing w:line="97" w:lineRule="exact"/>
              <w:ind w:left="271" w:right="2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41290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6508" w:type="dxa"/>
            <w:gridSpan w:val="3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3663" w:type="dxa"/>
          </w:tcPr>
          <w:p>
            <w:pPr>
              <w:pStyle w:val="TableParagraph"/>
              <w:spacing w:line="97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Модуль диспетчеризации по протоколу GSM/GPRS</w:t>
            </w:r>
          </w:p>
        </w:tc>
        <w:tc>
          <w:tcPr>
            <w:tcW w:w="956" w:type="dxa"/>
          </w:tcPr>
          <w:p>
            <w:pPr>
              <w:pStyle w:val="TableParagraph"/>
              <w:spacing w:line="97" w:lineRule="exact"/>
              <w:ind w:left="271" w:right="2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321140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3663" w:type="dxa"/>
            <w:tcBorders>
              <w:bottom w:val="nil"/>
            </w:tcBorders>
          </w:tcPr>
          <w:p>
            <w:pPr>
              <w:pStyle w:val="TableParagraph"/>
              <w:spacing w:line="9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Перечень контролируемых и отбражаемых параметров:</w:t>
            </w:r>
          </w:p>
        </w:tc>
        <w:tc>
          <w:tcPr>
            <w:tcW w:w="2845" w:type="dxa"/>
            <w:gridSpan w:val="2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22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3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Отсутствие питания/выход из нормы параметров питающей сети;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Обрыв или перекос фаз;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Отсутствие или превышение давления насосного агрегата;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Срабатывание</w:t>
            </w:r>
            <w:r>
              <w:rPr>
                <w:spacing w:val="-1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верхнего</w:t>
            </w:r>
            <w:r>
              <w:rPr>
                <w:spacing w:val="-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аварийного</w:t>
            </w:r>
            <w:r>
              <w:rPr>
                <w:spacing w:val="-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уровня</w:t>
            </w:r>
            <w:r>
              <w:rPr>
                <w:spacing w:val="-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или</w:t>
            </w:r>
            <w:r>
              <w:rPr>
                <w:spacing w:val="-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нижнего</w:t>
            </w:r>
            <w:r>
              <w:rPr>
                <w:spacing w:val="-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аварийного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Несанкционированный доступ в помещение емкости КНС.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Режим работы местный/дистанционный;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Работа/останов насосных агрегатов;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Работа/останов вентилятора;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Состояние фидера1 (напряжение L1,L2,L3)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Состояние фидера2 (напряжение L1,L2,L3)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Давление насосного агрегата 1;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Давление насосного агрегата 2;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Ток насосного агрегата 1 по каждой фазе;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Ток насосного агрегата 2 по каждой фазе;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Уровень стоков в КНС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Перегрев насосного агрегата 1;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Перегрев насосного агрегата 2;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Короткое замыкание в двигателе или в питающей линии насосного</w:t>
            </w:r>
          </w:p>
          <w:p>
            <w:pPr>
              <w:pStyle w:val="TableParagraph"/>
              <w:spacing w:line="100" w:lineRule="exact" w:before="3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агрегата 1;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Короткое замыкание в двигателе или в питающей линии насосного</w:t>
            </w:r>
          </w:p>
          <w:p>
            <w:pPr>
              <w:pStyle w:val="TableParagraph"/>
              <w:spacing w:line="106" w:lineRule="exact" w:before="3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агрегата 2;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Короткое замыкание в двигателе/питающей линии вентилятора;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Превышение/занижение допустимого значения тока в любой из</w:t>
            </w:r>
          </w:p>
          <w:p>
            <w:pPr>
              <w:pStyle w:val="TableParagraph"/>
              <w:spacing w:line="100" w:lineRule="exact" w:before="3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фаз двигателя насосного агрегата 1;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Превышение/занижение допустимого значения тока в любой из</w:t>
            </w:r>
          </w:p>
          <w:p>
            <w:pPr>
              <w:pStyle w:val="TableParagraph"/>
              <w:spacing w:line="110" w:lineRule="exact" w:before="3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фаз двигателя насосного агрегата 2;</w:t>
            </w:r>
          </w:p>
        </w:tc>
        <w:tc>
          <w:tcPr>
            <w:tcW w:w="284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740" w:bottom="280" w:left="1040" w:right="1680"/>
        </w:sectPr>
      </w:pPr>
    </w:p>
    <w:tbl>
      <w:tblPr>
        <w:tblW w:w="0" w:type="auto"/>
        <w:jc w:val="left"/>
        <w:tblInd w:w="2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7"/>
      </w:tblGrid>
      <w:tr>
        <w:trPr>
          <w:trHeight w:val="816" w:hRule="atLeast"/>
        </w:trPr>
        <w:tc>
          <w:tcPr>
            <w:tcW w:w="6507" w:type="dxa"/>
          </w:tcPr>
          <w:p>
            <w:pPr>
              <w:pStyle w:val="TableParagraph"/>
              <w:spacing w:before="8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Дополнительные требования заказчика к системе диспетчеризации:</w:t>
            </w:r>
          </w:p>
        </w:tc>
      </w:tr>
    </w:tbl>
    <w:p>
      <w:pPr>
        <w:pStyle w:val="BodyText"/>
        <w:rPr>
          <w:rFonts w:ascii="Times New Roman"/>
        </w:rPr>
      </w:pPr>
    </w:p>
    <w:tbl>
      <w:tblPr>
        <w:tblW w:w="0" w:type="auto"/>
        <w:jc w:val="left"/>
        <w:tblInd w:w="2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7"/>
      </w:tblGrid>
      <w:tr>
        <w:trPr>
          <w:trHeight w:val="186" w:hRule="atLeast"/>
        </w:trPr>
        <w:tc>
          <w:tcPr>
            <w:tcW w:w="6507" w:type="dxa"/>
          </w:tcPr>
          <w:p>
            <w:pPr>
              <w:pStyle w:val="TableParagraph"/>
              <w:spacing w:line="134" w:lineRule="exact" w:before="32"/>
              <w:ind w:left="422"/>
              <w:rPr>
                <w:b/>
                <w:sz w:val="12"/>
              </w:rPr>
            </w:pPr>
            <w:r>
              <w:rPr>
                <w:b/>
                <w:sz w:val="12"/>
              </w:rPr>
              <w:t>Корпус КНС</w:t>
            </w:r>
          </w:p>
        </w:tc>
      </w:tr>
      <w:tr>
        <w:trPr>
          <w:trHeight w:val="190" w:hRule="atLeast"/>
        </w:trPr>
        <w:tc>
          <w:tcPr>
            <w:tcW w:w="6507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422"/>
              <w:rPr>
                <w:sz w:val="12"/>
              </w:rPr>
            </w:pPr>
            <w:r>
              <w:rPr>
                <w:sz w:val="12"/>
              </w:rPr>
              <w:t>Корпус выполнен из малоуглеродистой конструкционной стали.</w:t>
            </w:r>
          </w:p>
        </w:tc>
      </w:tr>
      <w:tr>
        <w:trPr>
          <w:trHeight w:val="365" w:hRule="atLeast"/>
        </w:trPr>
        <w:tc>
          <w:tcPr>
            <w:tcW w:w="65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41"/>
              <w:ind w:left="422"/>
              <w:rPr>
                <w:sz w:val="12"/>
              </w:rPr>
            </w:pPr>
            <w:r>
              <w:rPr>
                <w:sz w:val="12"/>
              </w:rPr>
              <w:t>Покрытие корпуса КНС: внутренние поверхности- по СНиП 2.03.11-85 ( толщина покрытия 120 мкм): внешние поверхности- тип покрытия-весьма усиленный по ГОСТ 9.602-2005 ( толщина покрытия 5,2мм).</w:t>
            </w:r>
          </w:p>
        </w:tc>
      </w:tr>
      <w:tr>
        <w:trPr>
          <w:trHeight w:val="197" w:hRule="atLeast"/>
        </w:trPr>
        <w:tc>
          <w:tcPr>
            <w:tcW w:w="6507" w:type="dxa"/>
            <w:tcBorders>
              <w:top w:val="nil"/>
            </w:tcBorders>
          </w:tcPr>
          <w:p>
            <w:pPr>
              <w:pStyle w:val="TableParagraph"/>
              <w:spacing w:line="134" w:lineRule="exact" w:before="42"/>
              <w:ind w:left="456"/>
              <w:rPr>
                <w:sz w:val="11"/>
              </w:rPr>
            </w:pPr>
            <w:r>
              <w:rPr>
                <w:sz w:val="12"/>
              </w:rPr>
              <w:t>Имеются фундаментные лапы с отв Ø </w:t>
            </w:r>
            <w:r>
              <w:rPr>
                <w:sz w:val="11"/>
              </w:rPr>
              <w:t>30 мм</w:t>
            </w:r>
          </w:p>
        </w:tc>
      </w:tr>
      <w:tr>
        <w:trPr>
          <w:trHeight w:val="172" w:hRule="atLeast"/>
        </w:trPr>
        <w:tc>
          <w:tcPr>
            <w:tcW w:w="6507" w:type="dxa"/>
          </w:tcPr>
          <w:p>
            <w:pPr>
              <w:pStyle w:val="TableParagraph"/>
              <w:spacing w:line="137" w:lineRule="exact" w:before="15"/>
              <w:ind w:left="422"/>
              <w:rPr>
                <w:b/>
                <w:sz w:val="12"/>
              </w:rPr>
            </w:pPr>
            <w:r>
              <w:rPr>
                <w:b/>
                <w:sz w:val="12"/>
              </w:rPr>
              <w:t>Система автоматического управления КНС</w:t>
            </w:r>
          </w:p>
        </w:tc>
      </w:tr>
      <w:tr>
        <w:trPr>
          <w:trHeight w:val="154" w:hRule="atLeast"/>
        </w:trPr>
        <w:tc>
          <w:tcPr>
            <w:tcW w:w="6507" w:type="dxa"/>
            <w:tcBorders>
              <w:bottom w:val="nil"/>
            </w:tcBorders>
          </w:tcPr>
          <w:p>
            <w:pPr>
              <w:pStyle w:val="TableParagraph"/>
              <w:spacing w:line="128" w:lineRule="exact" w:before="6"/>
              <w:ind w:left="422"/>
              <w:rPr>
                <w:sz w:val="12"/>
              </w:rPr>
            </w:pPr>
            <w:r>
              <w:rPr>
                <w:sz w:val="12"/>
              </w:rPr>
              <w:t>САУ обеспечивает работу оборудования в автоматическом ручном режимах.</w:t>
            </w:r>
          </w:p>
        </w:tc>
      </w:tr>
      <w:tr>
        <w:trPr>
          <w:trHeight w:val="151" w:hRule="atLeast"/>
        </w:trPr>
        <w:tc>
          <w:tcPr>
            <w:tcW w:w="65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8"/>
              <w:ind w:left="422"/>
              <w:rPr>
                <w:sz w:val="12"/>
              </w:rPr>
            </w:pPr>
            <w:r>
              <w:rPr>
                <w:sz w:val="12"/>
              </w:rPr>
              <w:t>Пускозащитная аппаратура применена фирмы АВВ</w:t>
            </w:r>
          </w:p>
        </w:tc>
      </w:tr>
      <w:tr>
        <w:trPr>
          <w:trHeight w:val="144" w:hRule="atLeast"/>
        </w:trPr>
        <w:tc>
          <w:tcPr>
            <w:tcW w:w="65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3"/>
              <w:ind w:left="422"/>
              <w:rPr>
                <w:sz w:val="12"/>
              </w:rPr>
            </w:pPr>
            <w:r>
              <w:rPr>
                <w:sz w:val="12"/>
              </w:rPr>
              <w:t>Щит автоматики наземный IP54</w:t>
            </w:r>
          </w:p>
        </w:tc>
      </w:tr>
      <w:tr>
        <w:trPr>
          <w:trHeight w:val="180" w:hRule="atLeast"/>
        </w:trPr>
        <w:tc>
          <w:tcPr>
            <w:tcW w:w="6507" w:type="dxa"/>
            <w:tcBorders>
              <w:top w:val="nil"/>
              <w:bottom w:val="nil"/>
            </w:tcBorders>
          </w:tcPr>
          <w:p>
            <w:pPr>
              <w:pStyle w:val="TableParagraph"/>
              <w:ind w:left="422"/>
              <w:rPr>
                <w:sz w:val="12"/>
              </w:rPr>
            </w:pPr>
            <w:r>
              <w:rPr>
                <w:sz w:val="12"/>
              </w:rPr>
              <w:t>Основные функции Системы Автоматического Управления:</w:t>
            </w:r>
          </w:p>
        </w:tc>
      </w:tr>
      <w:tr>
        <w:trPr>
          <w:trHeight w:val="226" w:hRule="atLeast"/>
        </w:trPr>
        <w:tc>
          <w:tcPr>
            <w:tcW w:w="65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422"/>
              <w:rPr>
                <w:sz w:val="12"/>
              </w:rPr>
            </w:pPr>
            <w:r>
              <w:rPr>
                <w:sz w:val="12"/>
              </w:rPr>
              <w:t>− автоматическое управление насосами согласно технологического алгоритма работы КНС;</w:t>
            </w:r>
          </w:p>
        </w:tc>
      </w:tr>
      <w:tr>
        <w:trPr>
          <w:trHeight w:val="232" w:hRule="atLeast"/>
        </w:trPr>
        <w:tc>
          <w:tcPr>
            <w:tcW w:w="65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422"/>
              <w:rPr>
                <w:sz w:val="12"/>
              </w:rPr>
            </w:pPr>
            <w:r>
              <w:rPr>
                <w:sz w:val="12"/>
              </w:rPr>
              <w:t>− визуализация датчиков уровня канализационно-насосной станции;</w:t>
            </w:r>
          </w:p>
        </w:tc>
      </w:tr>
      <w:tr>
        <w:trPr>
          <w:trHeight w:val="259" w:hRule="atLeast"/>
        </w:trPr>
        <w:tc>
          <w:tcPr>
            <w:tcW w:w="65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422"/>
              <w:rPr>
                <w:sz w:val="12"/>
              </w:rPr>
            </w:pPr>
            <w:r>
              <w:rPr>
                <w:sz w:val="12"/>
              </w:rPr>
              <w:t>− визуализация состояния (ВКЛ-ВЫКЛ) каждого электродвигателя канализационно-насосной станции;</w:t>
            </w:r>
          </w:p>
        </w:tc>
      </w:tr>
      <w:tr>
        <w:trPr>
          <w:trHeight w:val="261" w:hRule="atLeast"/>
        </w:trPr>
        <w:tc>
          <w:tcPr>
            <w:tcW w:w="65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left="422"/>
              <w:rPr>
                <w:sz w:val="12"/>
              </w:rPr>
            </w:pPr>
            <w:r>
              <w:rPr>
                <w:sz w:val="12"/>
              </w:rPr>
              <w:t>− возможность ручной блокировки отдельного насоса на время проведения технического обслуживания;</w:t>
            </w:r>
          </w:p>
        </w:tc>
      </w:tr>
      <w:tr>
        <w:trPr>
          <w:trHeight w:val="187" w:hRule="atLeast"/>
        </w:trPr>
        <w:tc>
          <w:tcPr>
            <w:tcW w:w="65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47"/>
              <w:ind w:left="422"/>
              <w:rPr>
                <w:sz w:val="12"/>
              </w:rPr>
            </w:pPr>
            <w:r>
              <w:rPr>
                <w:sz w:val="12"/>
              </w:rPr>
              <w:t>− визуализация аварий каждого электродвигателя канализационно-насосной станции;</w:t>
            </w:r>
          </w:p>
        </w:tc>
      </w:tr>
      <w:tr>
        <w:trPr>
          <w:trHeight w:val="278" w:hRule="atLeast"/>
        </w:trPr>
        <w:tc>
          <w:tcPr>
            <w:tcW w:w="65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/>
              <w:ind w:left="422"/>
              <w:rPr>
                <w:sz w:val="12"/>
              </w:rPr>
            </w:pPr>
            <w:r>
              <w:rPr>
                <w:sz w:val="12"/>
              </w:rPr>
              <w:t>−автоматическое отключение электродвигателей при наличии сигнала внешней ошибки (тепловое реле</w:t>
            </w:r>
          </w:p>
          <w:p>
            <w:pPr>
              <w:pStyle w:val="TableParagraph"/>
              <w:spacing w:line="117" w:lineRule="exact" w:before="4"/>
              <w:ind w:left="422"/>
              <w:rPr>
                <w:sz w:val="12"/>
              </w:rPr>
            </w:pPr>
            <w:r>
              <w:rPr>
                <w:sz w:val="12"/>
              </w:rPr>
              <w:t>или иной релейный контакт);</w:t>
            </w:r>
          </w:p>
        </w:tc>
      </w:tr>
      <w:tr>
        <w:trPr>
          <w:trHeight w:val="149" w:hRule="atLeast"/>
        </w:trPr>
        <w:tc>
          <w:tcPr>
            <w:tcW w:w="6507" w:type="dxa"/>
            <w:tcBorders>
              <w:top w:val="nil"/>
            </w:tcBorders>
          </w:tcPr>
          <w:p>
            <w:pPr>
              <w:pStyle w:val="TableParagraph"/>
              <w:spacing w:line="129" w:lineRule="exact"/>
              <w:ind w:left="422"/>
              <w:rPr>
                <w:sz w:val="12"/>
              </w:rPr>
            </w:pPr>
            <w:r>
              <w:rPr>
                <w:sz w:val="12"/>
              </w:rPr>
              <w:t>− ручной запуск насосов в тестовом режиме;</w:t>
            </w:r>
          </w:p>
        </w:tc>
      </w:tr>
      <w:tr>
        <w:trPr>
          <w:trHeight w:val="141" w:hRule="atLeast"/>
        </w:trPr>
        <w:tc>
          <w:tcPr>
            <w:tcW w:w="6507" w:type="dxa"/>
          </w:tcPr>
          <w:p>
            <w:pPr>
              <w:pStyle w:val="TableParagraph"/>
              <w:spacing w:line="120" w:lineRule="exact" w:before="1"/>
              <w:ind w:left="422"/>
              <w:rPr>
                <w:b/>
                <w:sz w:val="12"/>
              </w:rPr>
            </w:pPr>
            <w:r>
              <w:rPr>
                <w:b/>
                <w:sz w:val="12"/>
              </w:rPr>
              <w:t>Защитные функции</w:t>
            </w:r>
          </w:p>
        </w:tc>
      </w:tr>
      <w:tr>
        <w:trPr>
          <w:trHeight w:val="168" w:hRule="atLeast"/>
        </w:trPr>
        <w:tc>
          <w:tcPr>
            <w:tcW w:w="6507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422"/>
              <w:rPr>
                <w:sz w:val="12"/>
              </w:rPr>
            </w:pPr>
            <w:r>
              <w:rPr>
                <w:sz w:val="12"/>
              </w:rPr>
              <w:t>САУ обеспечивает комплексную защиту электродвигателей:</w:t>
            </w:r>
          </w:p>
        </w:tc>
      </w:tr>
      <w:tr>
        <w:trPr>
          <w:trHeight w:val="174" w:hRule="atLeast"/>
        </w:trPr>
        <w:tc>
          <w:tcPr>
            <w:tcW w:w="65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20"/>
              <w:ind w:left="422"/>
              <w:rPr>
                <w:sz w:val="12"/>
              </w:rPr>
            </w:pPr>
            <w:r>
              <w:rPr>
                <w:sz w:val="12"/>
              </w:rPr>
              <w:t>− защита от перегрузки двигателя по току;</w:t>
            </w:r>
          </w:p>
        </w:tc>
      </w:tr>
      <w:tr>
        <w:trPr>
          <w:trHeight w:val="330" w:hRule="atLeast"/>
        </w:trPr>
        <w:tc>
          <w:tcPr>
            <w:tcW w:w="65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4"/>
              <w:ind w:left="422"/>
              <w:rPr>
                <w:sz w:val="12"/>
              </w:rPr>
            </w:pPr>
            <w:r>
              <w:rPr>
                <w:sz w:val="12"/>
              </w:rPr>
              <w:t>− защита от короткого замыкания в двигателе или срабатывании теплового реле, встроенного в автомат защиты двигателя;</w:t>
            </w:r>
          </w:p>
        </w:tc>
      </w:tr>
      <w:tr>
        <w:trPr>
          <w:trHeight w:val="206" w:hRule="atLeast"/>
        </w:trPr>
        <w:tc>
          <w:tcPr>
            <w:tcW w:w="65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422"/>
              <w:rPr>
                <w:sz w:val="12"/>
              </w:rPr>
            </w:pPr>
            <w:r>
              <w:rPr>
                <w:sz w:val="12"/>
              </w:rPr>
              <w:t>− тепловая защита двигателя насоса при помощи подключаемых датчиков температуры (биметалл);</w:t>
            </w:r>
          </w:p>
        </w:tc>
      </w:tr>
      <w:tr>
        <w:trPr>
          <w:trHeight w:val="319" w:hRule="atLeast"/>
        </w:trPr>
        <w:tc>
          <w:tcPr>
            <w:tcW w:w="65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0" w:lineRule="atLeast" w:before="30"/>
              <w:ind w:left="422"/>
              <w:rPr>
                <w:sz w:val="12"/>
              </w:rPr>
            </w:pPr>
            <w:r>
              <w:rPr>
                <w:sz w:val="12"/>
              </w:rPr>
              <w:t>− защита насосов от работы без воды, посредством подключения датчика сухого хода (реле давления, датчика уровня и т. п.);</w:t>
            </w:r>
          </w:p>
        </w:tc>
      </w:tr>
      <w:tr>
        <w:trPr>
          <w:trHeight w:val="157" w:hRule="atLeast"/>
        </w:trPr>
        <w:tc>
          <w:tcPr>
            <w:tcW w:w="6507" w:type="dxa"/>
            <w:tcBorders>
              <w:top w:val="nil"/>
            </w:tcBorders>
          </w:tcPr>
          <w:p>
            <w:pPr>
              <w:pStyle w:val="TableParagraph"/>
              <w:spacing w:line="132" w:lineRule="exact" w:before="5"/>
              <w:ind w:left="422"/>
              <w:rPr>
                <w:sz w:val="12"/>
              </w:rPr>
            </w:pPr>
            <w:r>
              <w:rPr>
                <w:sz w:val="12"/>
              </w:rPr>
              <w:t>− включение при устранении неисправности.</w:t>
            </w:r>
          </w:p>
        </w:tc>
      </w:tr>
      <w:tr>
        <w:trPr>
          <w:trHeight w:val="153" w:hRule="atLeast"/>
        </w:trPr>
        <w:tc>
          <w:tcPr>
            <w:tcW w:w="6507" w:type="dxa"/>
          </w:tcPr>
          <w:p>
            <w:pPr>
              <w:pStyle w:val="TableParagraph"/>
              <w:spacing w:line="118" w:lineRule="exact" w:before="15"/>
              <w:ind w:left="422"/>
              <w:rPr>
                <w:b/>
                <w:sz w:val="12"/>
              </w:rPr>
            </w:pPr>
            <w:r>
              <w:rPr>
                <w:b/>
                <w:sz w:val="12"/>
              </w:rPr>
              <w:t>Особые требования</w:t>
            </w:r>
          </w:p>
        </w:tc>
      </w:tr>
      <w:tr>
        <w:trPr>
          <w:trHeight w:val="1632" w:hRule="atLeast"/>
        </w:trPr>
        <w:tc>
          <w:tcPr>
            <w:tcW w:w="6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61" w:lineRule="auto" w:before="12"/>
        <w:ind w:left="714" w:right="5431" w:firstLine="0"/>
        <w:jc w:val="left"/>
        <w:rPr>
          <w:b/>
          <w:sz w:val="13"/>
        </w:rPr>
      </w:pPr>
      <w:r>
        <w:rPr>
          <w:b/>
          <w:w w:val="105"/>
          <w:sz w:val="13"/>
        </w:rPr>
        <w:t>Опросный лист заполнил (должность ,ФИО) Тел.,факс.,e-mail</w:t>
      </w:r>
    </w:p>
    <w:p>
      <w:pPr>
        <w:spacing w:before="104"/>
        <w:ind w:left="714" w:right="0" w:firstLine="0"/>
        <w:jc w:val="left"/>
        <w:rPr>
          <w:sz w:val="10"/>
        </w:rPr>
      </w:pPr>
      <w:r>
        <w:rPr>
          <w:sz w:val="13"/>
        </w:rPr>
        <w:t>* </w:t>
      </w:r>
      <w:r>
        <w:rPr>
          <w:sz w:val="10"/>
        </w:rPr>
        <w:t>- Графы подлежащие обязательному заполнению</w:t>
      </w:r>
    </w:p>
    <w:sectPr>
      <w:pgSz w:w="11910" w:h="16840"/>
      <w:pgMar w:top="740" w:bottom="280" w:left="10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ru-RU" w:bidi="ru-RU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Arial" w:hAnsi="Arial" w:eastAsia="Arial" w:cs="Arial"/>
      <w:b/>
      <w:bCs/>
      <w:sz w:val="11"/>
      <w:szCs w:val="11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1"/>
      <w:ind w:left="714"/>
      <w:outlineLvl w:val="1"/>
    </w:pPr>
    <w:rPr>
      <w:rFonts w:ascii="Arial" w:hAnsi="Arial" w:eastAsia="Arial" w:cs="Arial"/>
      <w:b/>
      <w:bCs/>
      <w:sz w:val="13"/>
      <w:szCs w:val="13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2019-03-15T09:05:12Z</dcterms:created>
  <dcterms:modified xsi:type="dcterms:W3CDTF">2019-03-15T09:05:12Z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2019-03-15T00:00:00Z</vt:filetime>
  </property>
</Properties>
</file>